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48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798" w:val="left"/>
        </w:tabs>
        <w:bidi w:val="0"/>
        <w:spacing w:before="0" w:line="221" w:lineRule="auto"/>
        <w:ind w:left="1700" w:right="0" w:hanging="17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"МРЦПКСЗ" </w:t>
      </w: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Функциональная диагностика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Л. Н. Лискина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0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368300</wp:posOffset>
                </wp:positionV>
                <wp:extent cx="6428105" cy="17081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2810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Члены подкомиссии: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550000000000001pt;margin-top:29.pt;width:506.15000000000003pt;height:13.4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Члены подкомиссии: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П. Сомина</w:t>
      </w:r>
    </w:p>
    <w:tbl>
      <w:tblPr>
        <w:tblOverlap w:val="never"/>
        <w:jc w:val="left"/>
        <w:tblLayout w:type="fixed"/>
      </w:tblPr>
      <w:tblGrid>
        <w:gridCol w:w="322"/>
        <w:gridCol w:w="307"/>
        <w:gridCol w:w="9830"/>
      </w:tblGrid>
      <w:tr>
        <w:trPr>
          <w:trHeight w:val="28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В. Мельникова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Дудина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Лискина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Панишева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Савинова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Сомина</w:t>
            </w:r>
          </w:p>
        </w:tc>
      </w:tr>
      <w:tr>
        <w:trPr>
          <w:trHeight w:val="221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459" w:h="3101" w:hSpace="254" w:vSpace="715" w:wrap="notBeside" w:vAnchor="text" w:hAnchor="text" w:x="269" w:y="7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</w:tc>
      </w:tr>
    </w:tbl>
    <w:p>
      <w:pPr>
        <w:pStyle w:val="Style14"/>
        <w:keepNext w:val="0"/>
        <w:keepLines w:val="0"/>
        <w:framePr w:w="10123" w:h="130" w:hSpace="14" w:wrap="notBeside" w:vAnchor="text" w:hAnchor="text" w:x="15" w:y="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(И.О. Фамилия)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Малышева Татьяна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Функциональная диагностика</w:t>
            </w: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6134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Л. Н. Лискина</w:t>
      </w:r>
    </w:p>
    <w:tbl>
      <w:tblPr>
        <w:tblOverlap w:val="never"/>
        <w:jc w:val="center"/>
        <w:tblLayout w:type="fixed"/>
      </w:tblPr>
      <w:tblGrid>
        <w:gridCol w:w="3686"/>
        <w:gridCol w:w="1858"/>
        <w:gridCol w:w="859"/>
        <w:gridCol w:w="298"/>
        <w:gridCol w:w="4008"/>
      </w:tblGrid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Мельникова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Сомина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0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2">
    <w:name w:val="Другое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320" w:line="259" w:lineRule="auto"/>
      <w:ind w:left="3030" w:hanging="8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  <w:spacing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